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12BA">
      <w:pPr>
        <w:tabs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</w:tabs>
        <w:rPr>
          <w:sz w:val="20"/>
        </w:rPr>
      </w:pPr>
    </w:p>
    <w:p w:rsidR="00000000" w:rsidRDefault="004712BA">
      <w:pPr>
        <w:pStyle w:val="Heading3"/>
        <w:rPr>
          <w:color w:val="000000"/>
        </w:rPr>
      </w:pPr>
      <w:r>
        <w:t>MVC-19HR</w:t>
      </w:r>
    </w:p>
    <w:p w:rsidR="00000000" w:rsidRDefault="004712BA">
      <w:pPr>
        <w:pStyle w:val="BodyText2"/>
        <w:numPr>
          <w:ilvl w:val="0"/>
          <w:numId w:val="9"/>
        </w:numPr>
        <w:spacing w:after="60"/>
      </w:pPr>
      <w:r>
        <w:t>19-inch high-resolution color monitor</w:t>
      </w:r>
    </w:p>
    <w:p w:rsidR="00000000" w:rsidRDefault="004712BA">
      <w:pPr>
        <w:pStyle w:val="BodyText2"/>
        <w:numPr>
          <w:ilvl w:val="1"/>
          <w:numId w:val="9"/>
        </w:numPr>
        <w:spacing w:after="60"/>
      </w:pPr>
      <w:r>
        <w:t>The 19-inch color CCTV monitor shall be as manufactured by GE Security or an approved equal.  The monitor shall have a CDT screen with 19-inch diagonal viewing area and be contained in a metal cabinet.</w:t>
      </w:r>
    </w:p>
    <w:p w:rsidR="00000000" w:rsidRDefault="004712BA">
      <w:pPr>
        <w:pStyle w:val="BodyText2"/>
        <w:numPr>
          <w:ilvl w:val="1"/>
          <w:numId w:val="9"/>
        </w:numPr>
        <w:spacing w:after="60"/>
      </w:pPr>
      <w:r>
        <w:t>The mo</w:t>
      </w:r>
      <w:r>
        <w:t>nitor shall meet or exceed the following specifications: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incorporate a 19-inch 0.27 mm color CDT screen.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have a maximum horizontal resolution of 800 television lines.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have a dual scanning system that is</w:t>
      </w:r>
      <w:r>
        <w:t xml:space="preserve"> NTSC and PAL compatible.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The scanning frequency shall be 15.734 KHz / 60 Hz NTSC and 15.625 KHz / 50 Hz PAL.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have a metal cabinet with a built-in speaker and ergonomic handles on each side.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 xml:space="preserve">The monitor shall have built-in microprocessor </w:t>
      </w:r>
      <w:r>
        <w:t>digital control.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use the following signal input: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Composite video 1.0 V p-p at 75 ohms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use the following video connections: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BNC in/out (2 sets)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Y/C in/out</w:t>
      </w:r>
    </w:p>
    <w:p w:rsidR="00000000" w:rsidRDefault="004712B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>
        <w:t>The monitor shall use the following audio connections: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 xml:space="preserve">RCA in/out </w:t>
      </w:r>
      <w:r>
        <w:t>(3 sets)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have the following front-panel user controls: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Power on/off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Brightness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Contrast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OSD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Enter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O/U Scan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A Channel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B Channel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Y/C Channel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have the following onscreen display menu controls: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Color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Tint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Brightness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Contrast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Sharpness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Volume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Language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Title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Version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have an LED that is steady green when the power is on.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The monitor shall have over/under scan.</w:t>
      </w:r>
    </w:p>
    <w:p w:rsidR="00000000" w:rsidRDefault="004712B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>
        <w:t>The O/U scan shall be controlled with a button on the front panel.</w:t>
      </w:r>
    </w:p>
    <w:p w:rsidR="00000000" w:rsidRDefault="004712B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>
        <w:t>The monitor shall have automatic lo</w:t>
      </w:r>
      <w:r>
        <w:t>op-through, self-terminating outputs.</w:t>
      </w:r>
    </w:p>
    <w:p w:rsidR="00000000" w:rsidRDefault="004712BA">
      <w:pPr>
        <w:pStyle w:val="BodyText2"/>
        <w:numPr>
          <w:ilvl w:val="1"/>
          <w:numId w:val="9"/>
        </w:numPr>
        <w:spacing w:after="60"/>
      </w:pPr>
      <w:r>
        <w:lastRenderedPageBreak/>
        <w:t>The electrical specifications for the monitor shall be as follows: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Power input shall be 100 to 240 VAC, 50/60 Hz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Power consumption shall be 95 W maximum.</w:t>
      </w:r>
    </w:p>
    <w:p w:rsidR="00000000" w:rsidRDefault="004712BA">
      <w:pPr>
        <w:pStyle w:val="BodyText2"/>
        <w:numPr>
          <w:ilvl w:val="1"/>
          <w:numId w:val="9"/>
        </w:numPr>
        <w:spacing w:after="60"/>
      </w:pPr>
      <w:r>
        <w:t>The environmental specifications for the monitor shall be as fol</w:t>
      </w:r>
      <w:r>
        <w:t>lows: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Operating temperature shall be 14 to 122°F (-10 to 50°C).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Operating humidity shall be 10 to 90 percent.</w:t>
      </w:r>
    </w:p>
    <w:p w:rsidR="00000000" w:rsidRDefault="004712BA">
      <w:pPr>
        <w:pStyle w:val="BodyText2"/>
        <w:numPr>
          <w:ilvl w:val="1"/>
          <w:numId w:val="9"/>
        </w:numPr>
        <w:spacing w:after="60"/>
      </w:pPr>
      <w:r>
        <w:t>The physical specifications for the monitor shall be as follows: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Net weight shall be 55.1 pounds or 25.0 kilograms.</w:t>
      </w:r>
    </w:p>
    <w:p w:rsidR="00000000" w:rsidRDefault="004712BA">
      <w:pPr>
        <w:pStyle w:val="BodyText2"/>
        <w:numPr>
          <w:ilvl w:val="2"/>
          <w:numId w:val="9"/>
        </w:numPr>
        <w:spacing w:after="60"/>
      </w:pPr>
      <w:r>
        <w:t>Dimensions shall be 17.1 (H) x</w:t>
      </w:r>
      <w:r>
        <w:t xml:space="preserve"> 17.6 (W) x 18.5 (D) inches (434 x 448 x 473 mm).</w:t>
      </w:r>
    </w:p>
    <w:p w:rsidR="00000000" w:rsidRDefault="004712BA">
      <w:pPr>
        <w:pStyle w:val="BodyText2"/>
        <w:numPr>
          <w:ilvl w:val="1"/>
          <w:numId w:val="9"/>
        </w:numPr>
        <w:tabs>
          <w:tab w:val="clear" w:pos="576"/>
        </w:tabs>
        <w:spacing w:after="60"/>
      </w:pPr>
      <w:r>
        <w:t>The monitor shall have the following optional accessories for rack mounting:</w:t>
      </w:r>
    </w:p>
    <w:p w:rsidR="00000000" w:rsidRDefault="004712BA">
      <w:pPr>
        <w:pStyle w:val="BodyText2"/>
        <w:numPr>
          <w:ilvl w:val="2"/>
          <w:numId w:val="9"/>
        </w:numPr>
        <w:tabs>
          <w:tab w:val="clear" w:pos="576"/>
          <w:tab w:val="clear" w:pos="1008"/>
        </w:tabs>
        <w:spacing w:after="60"/>
      </w:pPr>
      <w:r>
        <w:t>KTM-RK-19 shall mount one 19-inch monitor in a 19-inch rack space.</w:t>
      </w:r>
    </w:p>
    <w:p w:rsidR="00000000" w:rsidRDefault="004712BA">
      <w:pPr>
        <w:pStyle w:val="BodyText2"/>
        <w:numPr>
          <w:ilvl w:val="1"/>
          <w:numId w:val="9"/>
        </w:numPr>
        <w:tabs>
          <w:tab w:val="clear" w:pos="576"/>
        </w:tabs>
        <w:spacing w:after="60"/>
      </w:pPr>
      <w:r>
        <w:t xml:space="preserve">The monitor shall conform to these internationally recognized </w:t>
      </w:r>
      <w:r>
        <w:t>compliance standards:</w:t>
      </w:r>
    </w:p>
    <w:p w:rsidR="00000000" w:rsidRDefault="004712BA">
      <w:pPr>
        <w:pStyle w:val="BodyText2"/>
        <w:numPr>
          <w:ilvl w:val="2"/>
          <w:numId w:val="9"/>
        </w:numPr>
        <w:tabs>
          <w:tab w:val="clear" w:pos="1008"/>
        </w:tabs>
        <w:spacing w:after="60"/>
      </w:pPr>
      <w:r>
        <w:t>FCC</w:t>
      </w:r>
    </w:p>
    <w:p w:rsidR="00000000" w:rsidRDefault="004712BA">
      <w:pPr>
        <w:pStyle w:val="BodyText2"/>
        <w:numPr>
          <w:ilvl w:val="2"/>
          <w:numId w:val="9"/>
        </w:numPr>
        <w:tabs>
          <w:tab w:val="clear" w:pos="1008"/>
        </w:tabs>
        <w:spacing w:after="60"/>
      </w:pPr>
      <w:r>
        <w:t>CE</w:t>
      </w:r>
    </w:p>
    <w:p w:rsidR="00000000" w:rsidRDefault="004712BA">
      <w:pPr>
        <w:pStyle w:val="BodyText2"/>
        <w:numPr>
          <w:ilvl w:val="2"/>
          <w:numId w:val="9"/>
        </w:numPr>
        <w:tabs>
          <w:tab w:val="clear" w:pos="1008"/>
        </w:tabs>
        <w:spacing w:after="60"/>
      </w:pPr>
      <w:r>
        <w:t>C-Tick (pending)</w:t>
      </w:r>
    </w:p>
    <w:p w:rsidR="00000000" w:rsidRDefault="004712BA">
      <w:pPr>
        <w:pStyle w:val="BodyText2"/>
        <w:tabs>
          <w:tab w:val="clear" w:pos="576"/>
          <w:tab w:val="clear" w:pos="1008"/>
          <w:tab w:val="clear" w:pos="1440"/>
        </w:tabs>
        <w:spacing w:after="120"/>
      </w:pPr>
    </w:p>
    <w:tbl>
      <w:tblPr>
        <w:tblW w:w="0" w:type="auto"/>
        <w:tblInd w:w="468" w:type="dxa"/>
        <w:tblLook w:val="0000"/>
      </w:tblPr>
      <w:tblGrid>
        <w:gridCol w:w="1146"/>
        <w:gridCol w:w="2425"/>
        <w:gridCol w:w="1943"/>
        <w:gridCol w:w="1941"/>
        <w:gridCol w:w="19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80" w:type="dxa"/>
          </w:tcPr>
          <w:p w:rsidR="00000000" w:rsidRDefault="00E65B0B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1500" cy="619125"/>
                  <wp:effectExtent l="19050" t="0" r="0" b="0"/>
                  <wp:docPr id="3" name="Picture 3" descr="IMAGES\ge_monogram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\ge_monogram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000000" w:rsidRDefault="004712BA">
            <w:pPr>
              <w:pStyle w:val="BodyText2"/>
              <w:spacing w:after="120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Mailing Address</w:t>
            </w:r>
            <w:r>
              <w:rPr>
                <w:rFonts w:ascii="GE Inspira" w:hAnsi="GE Inspira"/>
                <w:sz w:val="16"/>
              </w:rPr>
              <w:br/>
              <w:t>4575 Research Way, Suite 250</w:t>
            </w:r>
            <w:r>
              <w:rPr>
                <w:rFonts w:ascii="GE Inspira" w:hAnsi="GE Inspira"/>
                <w:sz w:val="16"/>
              </w:rPr>
              <w:br/>
              <w:t>Corvallis, OR 97333 USA</w:t>
            </w:r>
          </w:p>
          <w:p w:rsidR="00000000" w:rsidRDefault="004712BA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6"/>
              </w:rPr>
              <w:t>www.GESecurity.com</w:t>
            </w:r>
          </w:p>
        </w:tc>
        <w:tc>
          <w:tcPr>
            <w:tcW w:w="1960" w:type="dxa"/>
          </w:tcPr>
          <w:p w:rsidR="00000000" w:rsidRDefault="004712BA">
            <w:pPr>
              <w:pStyle w:val="BodyText2"/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Americas</w:t>
            </w:r>
            <w:r>
              <w:rPr>
                <w:rFonts w:ascii="GE Inspira" w:hAnsi="GE Inspira"/>
                <w:sz w:val="14"/>
              </w:rPr>
              <w:br/>
              <w:t>800-469-1676 (US only)</w:t>
            </w:r>
            <w:r>
              <w:rPr>
                <w:rFonts w:ascii="GE Inspira" w:hAnsi="GE Inspira"/>
                <w:sz w:val="14"/>
              </w:rPr>
              <w:br/>
              <w:t>tel 541-754-9133</w:t>
            </w:r>
            <w:r>
              <w:rPr>
                <w:rFonts w:ascii="GE Inspira" w:hAnsi="GE Inspira"/>
                <w:sz w:val="14"/>
              </w:rPr>
              <w:br/>
              <w:t>fax 541-754-7162</w:t>
            </w:r>
          </w:p>
        </w:tc>
        <w:tc>
          <w:tcPr>
            <w:tcW w:w="1959" w:type="dxa"/>
          </w:tcPr>
          <w:p w:rsidR="00000000" w:rsidRDefault="004712BA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Asia</w:t>
            </w:r>
            <w:r>
              <w:rPr>
                <w:rFonts w:ascii="GE Inspira" w:hAnsi="GE Inspira"/>
                <w:sz w:val="14"/>
              </w:rPr>
              <w:br/>
              <w:t>tel 852-2907-8108</w:t>
            </w:r>
            <w:r>
              <w:rPr>
                <w:rFonts w:ascii="GE Inspira" w:hAnsi="GE Inspira"/>
                <w:sz w:val="14"/>
              </w:rPr>
              <w:br/>
              <w:t>fax 852-2142-5063</w:t>
            </w:r>
          </w:p>
          <w:p w:rsidR="00000000" w:rsidRDefault="004712BA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Australia</w:t>
            </w:r>
            <w:r>
              <w:rPr>
                <w:rFonts w:ascii="GE Inspira" w:hAnsi="GE Inspira"/>
                <w:sz w:val="14"/>
              </w:rPr>
              <w:br/>
              <w:t>te</w:t>
            </w:r>
            <w:r>
              <w:rPr>
                <w:rFonts w:ascii="GE Inspira" w:hAnsi="GE Inspira"/>
                <w:sz w:val="14"/>
              </w:rPr>
              <w:t>l 61-3-9259-4700</w:t>
            </w:r>
            <w:r>
              <w:rPr>
                <w:rFonts w:ascii="GE Inspira" w:hAnsi="GE Inspira"/>
                <w:sz w:val="14"/>
              </w:rPr>
              <w:br/>
              <w:t>fax 61-3-9259-4799</w:t>
            </w:r>
          </w:p>
        </w:tc>
        <w:tc>
          <w:tcPr>
            <w:tcW w:w="1959" w:type="dxa"/>
          </w:tcPr>
          <w:p w:rsidR="00000000" w:rsidRDefault="004712BA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Europe</w:t>
            </w:r>
            <w:r>
              <w:rPr>
                <w:rFonts w:ascii="GE Inspira" w:hAnsi="GE Inspira"/>
                <w:sz w:val="14"/>
              </w:rPr>
              <w:br/>
              <w:t>tel 32-2-725-11-20</w:t>
            </w:r>
            <w:r>
              <w:rPr>
                <w:rFonts w:ascii="GE Inspira" w:hAnsi="GE Inspira"/>
                <w:sz w:val="14"/>
              </w:rPr>
              <w:br/>
              <w:t>fax 32-2-721-86-13</w:t>
            </w:r>
          </w:p>
          <w:p w:rsidR="00000000" w:rsidRDefault="004712BA">
            <w:pPr>
              <w:pStyle w:val="BodyText2"/>
              <w:spacing w:after="60"/>
            </w:pPr>
            <w:r>
              <w:rPr>
                <w:rFonts w:ascii="GE Inspira" w:hAnsi="GE Inspira"/>
                <w:sz w:val="14"/>
              </w:rPr>
              <w:t>Latin America</w:t>
            </w:r>
            <w:r>
              <w:rPr>
                <w:rFonts w:ascii="GE Inspira" w:hAnsi="GE Inspira"/>
                <w:sz w:val="14"/>
              </w:rPr>
              <w:br/>
              <w:t>tel 305-593-4301</w:t>
            </w:r>
            <w:r>
              <w:rPr>
                <w:rFonts w:ascii="GE Inspira" w:hAnsi="GE Inspira"/>
                <w:sz w:val="14"/>
              </w:rPr>
              <w:br/>
              <w:t>fax 305-267-4300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96" w:type="dxa"/>
            <w:gridSpan w:val="5"/>
          </w:tcPr>
          <w:p w:rsidR="00000000" w:rsidRDefault="004712BA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© 2004 GE Security. As a company of innovation, GE Security reserves the right to change product information without notice. F</w:t>
            </w:r>
            <w:r>
              <w:rPr>
                <w:rFonts w:ascii="GE Inspira" w:hAnsi="GE Inspira"/>
                <w:sz w:val="14"/>
              </w:rPr>
              <w:t xml:space="preserve">or the latest product specifications, visit GE Security online at www.GESecurity.com or contact your GE Security sales representative.  </w:t>
            </w:r>
          </w:p>
        </w:tc>
      </w:tr>
    </w:tbl>
    <w:p w:rsidR="004712BA" w:rsidRDefault="004712BA">
      <w:pPr>
        <w:pStyle w:val="BodyText2"/>
        <w:tabs>
          <w:tab w:val="clear" w:pos="576"/>
          <w:tab w:val="clear" w:pos="1008"/>
          <w:tab w:val="clear" w:pos="1440"/>
        </w:tabs>
        <w:spacing w:after="120"/>
      </w:pPr>
    </w:p>
    <w:sectPr w:rsidR="004712BA">
      <w:headerReference w:type="default" r:id="rId12"/>
      <w:footerReference w:type="default" r:id="rId13"/>
      <w:pgSz w:w="12240" w:h="15840" w:code="1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2BA" w:rsidRDefault="004712BA">
      <w:r>
        <w:separator/>
      </w:r>
    </w:p>
  </w:endnote>
  <w:endnote w:type="continuationSeparator" w:id="0">
    <w:p w:rsidR="004712BA" w:rsidRDefault="0047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Inspira">
    <w:altName w:val="Nyal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12BA"/>
  <w:tbl>
    <w:tblPr>
      <w:tblW w:w="0" w:type="auto"/>
      <w:tblInd w:w="108" w:type="dxa"/>
      <w:tblLook w:val="0000"/>
    </w:tblPr>
    <w:tblGrid>
      <w:gridCol w:w="3180"/>
      <w:gridCol w:w="3288"/>
      <w:gridCol w:w="3288"/>
    </w:tblGrid>
    <w:tr w:rsidR="00000000">
      <w:tblPrEx>
        <w:tblCellMar>
          <w:top w:w="0" w:type="dxa"/>
          <w:bottom w:w="0" w:type="dxa"/>
        </w:tblCellMar>
      </w:tblPrEx>
      <w:tc>
        <w:tcPr>
          <w:tcW w:w="3180" w:type="dxa"/>
        </w:tcPr>
        <w:p w:rsidR="00000000" w:rsidRDefault="004712BA">
          <w:pPr>
            <w:pStyle w:val="Footer"/>
            <w:rPr>
              <w:sz w:val="18"/>
            </w:rPr>
          </w:pPr>
          <w:r>
            <w:rPr>
              <w:sz w:val="18"/>
            </w:rPr>
            <w:t>MV-19HR monitor / August 2004</w:t>
          </w:r>
        </w:p>
      </w:tc>
      <w:tc>
        <w:tcPr>
          <w:tcW w:w="3288" w:type="dxa"/>
        </w:tcPr>
        <w:p w:rsidR="00000000" w:rsidRDefault="004712BA">
          <w:pPr>
            <w:pStyle w:val="Footer"/>
            <w:jc w:val="center"/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E65B0B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3288" w:type="dxa"/>
        </w:tcPr>
        <w:p w:rsidR="00000000" w:rsidRDefault="004712BA">
          <w:pPr>
            <w:pStyle w:val="Footer"/>
            <w:jc w:val="right"/>
          </w:pPr>
        </w:p>
      </w:tc>
    </w:tr>
  </w:tbl>
  <w:p w:rsidR="00000000" w:rsidRDefault="00471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2BA" w:rsidRDefault="004712BA">
      <w:r>
        <w:separator/>
      </w:r>
    </w:p>
  </w:footnote>
  <w:footnote w:type="continuationSeparator" w:id="0">
    <w:p w:rsidR="004712BA" w:rsidRDefault="00471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809"/>
      <w:gridCol w:w="4917"/>
    </w:tblGrid>
    <w:tr w:rsidR="00000000">
      <w:tblPrEx>
        <w:tblCellMar>
          <w:top w:w="0" w:type="dxa"/>
          <w:bottom w:w="0" w:type="dxa"/>
        </w:tblCellMar>
      </w:tblPrEx>
      <w:trPr>
        <w:trHeight w:val="915"/>
      </w:trPr>
      <w:tc>
        <w:tcPr>
          <w:tcW w:w="4809" w:type="dxa"/>
        </w:tcPr>
        <w:p w:rsidR="00000000" w:rsidRDefault="00E65B0B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28675" cy="561975"/>
                <wp:effectExtent l="19050" t="0" r="9525" b="0"/>
                <wp:docPr id="1" name="Picture 1" descr="F:\Jennifer\A&amp;E_SPECS\IMAGES\Header_Inspir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Jennifer\A&amp;E_SPECS\IMAGES\Header_Inspira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</w:tcPr>
        <w:p w:rsidR="00000000" w:rsidRDefault="00E65B0B">
          <w:pPr>
            <w:pStyle w:val="Header"/>
            <w:jc w:val="right"/>
            <w:rPr>
              <w:rFonts w:ascii="GE Inspira" w:hAnsi="GE Inspira"/>
              <w:b/>
              <w:bCs/>
              <w:sz w:val="32"/>
            </w:rPr>
          </w:pPr>
          <w:r>
            <w:rPr>
              <w:rFonts w:ascii="GE Inspira" w:hAnsi="GE Inspira"/>
              <w:b/>
              <w:bCs/>
              <w:noProof/>
              <w:sz w:val="32"/>
            </w:rPr>
            <w:drawing>
              <wp:inline distT="0" distB="0" distL="0" distR="0">
                <wp:extent cx="1895475" cy="295275"/>
                <wp:effectExtent l="19050" t="0" r="9525" b="0"/>
                <wp:docPr id="2" name="Picture 2" descr="IMAGES\aespecline_blu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S\aespecline_blue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4712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25C"/>
    <w:multiLevelType w:val="multilevel"/>
    <w:tmpl w:val="581A5DA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DA119E0"/>
    <w:multiLevelType w:val="multilevel"/>
    <w:tmpl w:val="052E1EC6"/>
    <w:lvl w:ilvl="0"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744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">
    <w:nsid w:val="262356D7"/>
    <w:multiLevelType w:val="multilevel"/>
    <w:tmpl w:val="76F28726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3">
    <w:nsid w:val="2701148B"/>
    <w:multiLevelType w:val="multilevel"/>
    <w:tmpl w:val="BC06CE0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4">
    <w:nsid w:val="28E92870"/>
    <w:multiLevelType w:val="multilevel"/>
    <w:tmpl w:val="2148269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5">
    <w:nsid w:val="2F330548"/>
    <w:multiLevelType w:val="multilevel"/>
    <w:tmpl w:val="82266B2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6">
    <w:nsid w:val="344D19DC"/>
    <w:multiLevelType w:val="multilevel"/>
    <w:tmpl w:val="A084752A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7">
    <w:nsid w:val="52A672F2"/>
    <w:multiLevelType w:val="multilevel"/>
    <w:tmpl w:val="002AC7AE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8">
    <w:nsid w:val="78D679BA"/>
    <w:multiLevelType w:val="multilevel"/>
    <w:tmpl w:val="D034ECDC"/>
    <w:lvl w:ilvl="0">
      <w:numFmt w:val="decimal"/>
      <w:lvlText w:val="2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152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016" w:hanging="14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664"/>
        </w:tabs>
        <w:ind w:left="2448" w:hanging="144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2880" w:hanging="14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9">
    <w:nsid w:val="79976C29"/>
    <w:multiLevelType w:val="multilevel"/>
    <w:tmpl w:val="73B68C6A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10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B0B"/>
    <w:rsid w:val="004712BA"/>
    <w:rsid w:val="00E6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 w:val="20"/>
      <w:szCs w:val="20"/>
    </w:rPr>
  </w:style>
  <w:style w:type="paragraph" w:styleId="BodyText">
    <w:name w:val="Body Text"/>
    <w:basedOn w:val="Normal"/>
    <w:semiHidden/>
    <w:rPr>
      <w:sz w:val="28"/>
      <w:szCs w:val="20"/>
    </w:rPr>
  </w:style>
  <w:style w:type="paragraph" w:styleId="BodyText2">
    <w:name w:val="Body Text 2"/>
    <w:basedOn w:val="Normal"/>
    <w:semiHidden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  <w:sz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wnload Asset" ma:contentTypeID="0x0101004F26C7F709DF1943853683220AEFDF050063501A8DEBADBD43989F5682D0C82F19" ma:contentTypeVersion="1" ma:contentTypeDescription="" ma:contentTypeScope="" ma:versionID="feabaa9b819c184402a2463aed42cf64">
  <xsd:schema xmlns:xsd="http://www.w3.org/2001/XMLSchema" xmlns:xs="http://www.w3.org/2001/XMLSchema" xmlns:p="http://schemas.microsoft.com/office/2006/metadata/properties" xmlns:ns3="dbd212b2-299c-41cb-a2da-5b6b13aae944" xmlns:ns4="56d80b42-2495-476a-a6d0-d30557447e8e" targetNamespace="http://schemas.microsoft.com/office/2006/metadata/properties" ma:root="true" ma:fieldsID="39d5858301269f27bbd8f6e5714ea7d2" ns3:_="" ns4:_="">
    <xsd:import namespace="dbd212b2-299c-41cb-a2da-5b6b13aae944"/>
    <xsd:import namespace="56d80b42-2495-476a-a6d0-d30557447e8e"/>
    <xsd:element name="properties">
      <xsd:complexType>
        <xsd:sequence>
          <xsd:element name="documentManagement">
            <xsd:complexType>
              <xsd:all>
                <xsd:element ref="ns3:Download_x0020_Category" minOccurs="0"/>
                <xsd:element ref="ns3:Download_x0020_Type" minOccurs="0"/>
                <xsd:element ref="ns4:Download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212b2-299c-41cb-a2da-5b6b13aae944" elementFormDefault="qualified">
    <xsd:import namespace="http://schemas.microsoft.com/office/2006/documentManagement/types"/>
    <xsd:import namespace="http://schemas.microsoft.com/office/infopath/2007/PartnerControls"/>
    <xsd:element name="Download_x0020_Category" ma:index="8" nillable="true" ma:displayName="Download Category" ma:list="{D23F5126-F93F-4989-BCEF-786F0BE2824A}" ma:internalName="Download_x0020_Category" ma:showField="Download_x0020_Category" ma:web="{7940ef12-8a8f-47b1-af37-78c4b642418c}">
      <xsd:simpleType>
        <xsd:restriction base="dms:Lookup"/>
      </xsd:simpleType>
    </xsd:element>
    <xsd:element name="Download_x0020_Type" ma:index="9" nillable="true" ma:displayName="Download Type" ma:list="{093BD355-E089-4BC7-83EF-CD75AA71B834}" ma:internalName="Download_x0020_Type" ma:showField="Download_x0020_Type" ma:web="{7940ef12-8a8f-47b1-af37-78c4b642418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0b42-2495-476a-a6d0-d30557447e8e" elementFormDefault="qualified">
    <xsd:import namespace="http://schemas.microsoft.com/office/2006/documentManagement/types"/>
    <xsd:import namespace="http://schemas.microsoft.com/office/infopath/2007/PartnerControls"/>
    <xsd:element name="Download_x0020_Description" ma:index="10" nillable="true" ma:displayName="Download Description" ma:internalName="Download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wnload_x0020_Category xmlns="dbd212b2-299c-41cb-a2da-5b6b13aae944">1</Download_x0020_Category>
    <Download_x0020_Description xmlns="56d80b42-2495-476a-a6d0-d30557447e8e">MVC-19HR</Download_x0020_Description>
    <Download_x0020_Type xmlns="dbd212b2-299c-41cb-a2da-5b6b13aae944">1</Download_x0020_Type>
  </documentManagement>
</p:properties>
</file>

<file path=customXml/itemProps1.xml><?xml version="1.0" encoding="utf-8"?>
<ds:datastoreItem xmlns:ds="http://schemas.openxmlformats.org/officeDocument/2006/customXml" ds:itemID="{5F325539-DA9E-4EA4-923D-96D74027200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09832CE-7F5F-4D82-AC5D-049AE3C44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914FC-2BE7-4097-8495-3657647EC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212b2-299c-41cb-a2da-5b6b13aae944"/>
    <ds:schemaRef ds:uri="56d80b42-2495-476a-a6d0-d3055744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34C916-4B93-45F9-B520-61EA4AE947B0}">
  <ds:schemaRefs>
    <ds:schemaRef ds:uri="http://schemas.microsoft.com/office/2006/metadata/properties"/>
    <ds:schemaRef ds:uri="dbd212b2-299c-41cb-a2da-5b6b13aae944"/>
    <ds:schemaRef ds:uri="56d80b42-2495-476a-a6d0-d3055744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DVMRe Pro</vt:lpstr>
    </vt:vector>
  </TitlesOfParts>
  <Company>GE Industrial Systems</Company>
  <LinksUpToDate>false</LinksUpToDate>
  <CharactersWithSpaces>2950</CharactersWithSpaces>
  <SharedDoc>false</SharedDoc>
  <HLinks>
    <vt:vector size="18" baseType="variant">
      <vt:variant>
        <vt:i4>3866719</vt:i4>
      </vt:variant>
      <vt:variant>
        <vt:i4>3375</vt:i4>
      </vt:variant>
      <vt:variant>
        <vt:i4>1027</vt:i4>
      </vt:variant>
      <vt:variant>
        <vt:i4>1</vt:i4>
      </vt:variant>
      <vt:variant>
        <vt:lpwstr>IMAGES\ge_monogram_black.jpg</vt:lpwstr>
      </vt:variant>
      <vt:variant>
        <vt:lpwstr/>
      </vt:variant>
      <vt:variant>
        <vt:i4>4325450</vt:i4>
      </vt:variant>
      <vt:variant>
        <vt:i4>3979</vt:i4>
      </vt:variant>
      <vt:variant>
        <vt:i4>1025</vt:i4>
      </vt:variant>
      <vt:variant>
        <vt:i4>1</vt:i4>
      </vt:variant>
      <vt:variant>
        <vt:lpwstr>F:\Jennifer\A&amp;E_SPECS\IMAGES\Header_Inspira1.jpg</vt:lpwstr>
      </vt:variant>
      <vt:variant>
        <vt:lpwstr/>
      </vt:variant>
      <vt:variant>
        <vt:i4>4718619</vt:i4>
      </vt:variant>
      <vt:variant>
        <vt:i4>3981</vt:i4>
      </vt:variant>
      <vt:variant>
        <vt:i4>1026</vt:i4>
      </vt:variant>
      <vt:variant>
        <vt:i4>1</vt:i4>
      </vt:variant>
      <vt:variant>
        <vt:lpwstr>IMAGES\aespecline_blue.tif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DVMRe Pro</dc:title>
  <dc:creator>GE IndSys</dc:creator>
  <cp:lastModifiedBy>Lorena Cora</cp:lastModifiedBy>
  <cp:revision>2</cp:revision>
  <cp:lastPrinted>2004-07-09T21:36:00Z</cp:lastPrinted>
  <dcterms:created xsi:type="dcterms:W3CDTF">2012-06-26T14:55:00Z</dcterms:created>
  <dcterms:modified xsi:type="dcterms:W3CDTF">2012-06-26T14:55:00Z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0x0101004F26C7F709DF1943853683220AEFDF050063501A8DEBADBD43989F5682D0C82F19</vt:lpwstr>
  </property>
  <property fmtid="{D5CDD505-2E9C-101B-9397-08002B2CF9AE}" pid="3" name="Is Secure">
    <vt:lpwstr>0</vt:lpwstr>
  </property>
</Properties>
</file>