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04FB">
      <w:pPr>
        <w:pStyle w:val="Heading3"/>
        <w:numPr>
          <w:ilvl w:val="0"/>
          <w:numId w:val="0"/>
        </w:numPr>
        <w:rPr>
          <w:color w:val="000000"/>
        </w:rPr>
      </w:pPr>
      <w:r>
        <w:t>GEC-MP2 Megapixel camera</w:t>
      </w:r>
    </w:p>
    <w:p w:rsidR="00000000" w:rsidRDefault="008F04FB">
      <w:pPr>
        <w:pStyle w:val="BodyText2"/>
        <w:numPr>
          <w:ilvl w:val="0"/>
          <w:numId w:val="9"/>
        </w:numPr>
        <w:spacing w:after="120"/>
      </w:pPr>
      <w:r>
        <w:t>2 MP high-resolution security camera</w:t>
      </w:r>
    </w:p>
    <w:p w:rsidR="00000000" w:rsidRDefault="008F04FB">
      <w:pPr>
        <w:pStyle w:val="BodyText2"/>
        <w:numPr>
          <w:ilvl w:val="1"/>
          <w:numId w:val="9"/>
        </w:numPr>
        <w:spacing w:after="120"/>
      </w:pPr>
      <w:r>
        <w:t>The Megapixel Camera shall be as manufactured by GE Security or an approved equal.  The camera shall produce high-resolution color images.</w:t>
      </w:r>
    </w:p>
    <w:p w:rsidR="00000000" w:rsidRDefault="008F04FB">
      <w:pPr>
        <w:pStyle w:val="BodyText2"/>
        <w:numPr>
          <w:ilvl w:val="1"/>
          <w:numId w:val="9"/>
        </w:numPr>
        <w:spacing w:after="120"/>
      </w:pPr>
      <w:r>
        <w:t>The camera shall meet or exceed the following specifica</w:t>
      </w:r>
      <w:r>
        <w:t>tions: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the form factor as typical of a CCTV video camera.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a CMOS image sensor.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resolution equal to 1600 horizontal and 1200 vertical.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a bayer mosaic RGB filter.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</w:t>
      </w:r>
      <w:r>
        <w:t>era shall have automatic backlight compensation.</w:t>
      </w:r>
    </w:p>
    <w:p w:rsidR="00000000" w:rsidRDefault="008F04FB">
      <w:pPr>
        <w:pStyle w:val="BodyText2"/>
        <w:numPr>
          <w:ilvl w:val="2"/>
          <w:numId w:val="9"/>
        </w:numPr>
        <w:spacing w:after="120"/>
        <w:rPr>
          <w:sz w:val="22"/>
        </w:rPr>
      </w:pPr>
      <w:r>
        <w:t>The sensitivity shall be 0.5 lux at f1.4.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signal-to-noise ratio shall 45 dB maximum.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dynamic range shall be 60 dB.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auto exposure and gain control greater than 120 dB.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</w:t>
      </w:r>
      <w:r>
        <w:t xml:space="preserve"> shall have auto backlight compensation.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auto multi-matrix white balance.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a 50/60Hz selectable flicker control.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electronic pan, tilt, and zoom (PTZ).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electronic image r</w:t>
      </w:r>
      <w:r>
        <w:t>otation, upside-down image turn.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allow resolution windowing down to 32 horizontal by 32 vertical pixels.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programmable motion blurring control for low-light situations.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programmable resolution, br</w:t>
      </w:r>
      <w:r>
        <w:t>ightness, saturation, gamma, sharpness, and tint.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allow for picture-in-picture, simultaneous delivery of full field of view and zoomed images.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Two lens mount options shall be available for the camera:</w:t>
      </w:r>
    </w:p>
    <w:p w:rsidR="00000000" w:rsidRDefault="008F04FB">
      <w:pPr>
        <w:pStyle w:val="BodyText2"/>
        <w:numPr>
          <w:ilvl w:val="3"/>
          <w:numId w:val="9"/>
        </w:numPr>
        <w:tabs>
          <w:tab w:val="clear" w:pos="1440"/>
          <w:tab w:val="left" w:pos="1872"/>
        </w:tabs>
        <w:spacing w:after="120"/>
      </w:pPr>
      <w:r>
        <w:t>C lens mount</w:t>
      </w:r>
    </w:p>
    <w:p w:rsidR="00000000" w:rsidRDefault="008F04FB">
      <w:pPr>
        <w:pStyle w:val="BodyText2"/>
        <w:numPr>
          <w:ilvl w:val="3"/>
          <w:numId w:val="9"/>
        </w:numPr>
        <w:tabs>
          <w:tab w:val="clear" w:pos="1440"/>
          <w:tab w:val="left" w:pos="1872"/>
        </w:tabs>
        <w:spacing w:after="120"/>
      </w:pPr>
      <w:r>
        <w:t>CS lens mount</w:t>
      </w:r>
    </w:p>
    <w:p w:rsidR="00000000" w:rsidRDefault="008F04FB">
      <w:pPr>
        <w:pStyle w:val="BodyText2"/>
        <w:numPr>
          <w:ilvl w:val="1"/>
          <w:numId w:val="9"/>
        </w:numPr>
        <w:tabs>
          <w:tab w:val="clear" w:pos="1440"/>
        </w:tabs>
        <w:spacing w:after="120"/>
      </w:pPr>
      <w:r>
        <w:t>The video s</w:t>
      </w:r>
      <w:r>
        <w:t>pecification for the dome shall be as follows: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compression shall be motion JPEG with 22 levels of quality.</w:t>
      </w:r>
    </w:p>
    <w:p w:rsidR="00000000" w:rsidRDefault="008F04FB">
      <w:pPr>
        <w:pStyle w:val="BodyText2"/>
        <w:numPr>
          <w:ilvl w:val="2"/>
          <w:numId w:val="9"/>
        </w:numPr>
        <w:tabs>
          <w:tab w:val="clear" w:pos="1872"/>
        </w:tabs>
        <w:spacing w:after="120"/>
      </w:pPr>
      <w:r>
        <w:t>The frame rate shall be up to 24 frames per second at 1160 horizontal and 1200 vertical resolution.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data rate shall be up to 45Mbps.</w:t>
      </w:r>
    </w:p>
    <w:p w:rsidR="00000000" w:rsidRDefault="008F04FB">
      <w:pPr>
        <w:pStyle w:val="BodyText2"/>
        <w:numPr>
          <w:ilvl w:val="1"/>
          <w:numId w:val="9"/>
        </w:numPr>
        <w:tabs>
          <w:tab w:val="clear" w:pos="1440"/>
        </w:tabs>
        <w:spacing w:after="120"/>
      </w:pPr>
      <w:r>
        <w:t>The netw</w:t>
      </w:r>
      <w:r>
        <w:t>orking specification for the dome shall be as follows: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have one 100 Base-T Ethernet port.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use TFTP for a transmission protocol.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dome shall have password protection configured by an adminstrator.</w:t>
      </w:r>
    </w:p>
    <w:p w:rsidR="00000000" w:rsidRDefault="008F04FB">
      <w:pPr>
        <w:pStyle w:val="BodyText2"/>
        <w:numPr>
          <w:ilvl w:val="1"/>
          <w:numId w:val="9"/>
        </w:numPr>
        <w:spacing w:after="120"/>
      </w:pPr>
      <w:r>
        <w:t>The electrical specific</w:t>
      </w:r>
      <w:r>
        <w:t>ations for the dome shall be as follows: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lastRenderedPageBreak/>
        <w:t>The camera shall be compatible with IEEE 802.3af power over Ethernet (POE) equipment.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The camera shall use either POE or DC input.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Power source shall be universal, 9 to 12 VDC (2.1 mm by 5.5 mm, center positive).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Po</w:t>
      </w:r>
      <w:r>
        <w:t>wer consumption shall be 4.5W max.</w:t>
      </w:r>
    </w:p>
    <w:p w:rsidR="00000000" w:rsidRDefault="008F04FB">
      <w:pPr>
        <w:pStyle w:val="BodyText2"/>
        <w:numPr>
          <w:ilvl w:val="1"/>
          <w:numId w:val="9"/>
        </w:numPr>
        <w:spacing w:after="120"/>
      </w:pPr>
      <w:r>
        <w:t>The environmental specifications for the dome shall be as follows: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Operating temperature shall be 32 to 122 degrees Fahrenheit or 0 to 50 degrees Celsius.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Storage temperature shall be -4 to 140 degrees Fahrenheit or -20 t</w:t>
      </w:r>
      <w:r>
        <w:t>o 60 degrees Celsius.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Humidity levels shall be 0 to 90%, noncondensing.</w:t>
      </w:r>
    </w:p>
    <w:p w:rsidR="00000000" w:rsidRDefault="008F04FB">
      <w:pPr>
        <w:pStyle w:val="BodyText2"/>
        <w:numPr>
          <w:ilvl w:val="1"/>
          <w:numId w:val="9"/>
        </w:numPr>
        <w:spacing w:after="120"/>
      </w:pPr>
      <w:r>
        <w:t>The physical specifications for the dome shall be as follows: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Dimensions, without lens, shall be 3.0 inches W by 2.5 inches H by 5.0 inches D or 76 mm by 63.5 mm by 127 mm.</w:t>
      </w:r>
    </w:p>
    <w:p w:rsidR="00000000" w:rsidRDefault="008F04FB">
      <w:pPr>
        <w:pStyle w:val="BodyText2"/>
        <w:numPr>
          <w:ilvl w:val="2"/>
          <w:numId w:val="9"/>
        </w:numPr>
        <w:spacing w:after="120"/>
      </w:pPr>
      <w:r>
        <w:t>Weight, wit</w:t>
      </w:r>
      <w:r>
        <w:t>hout lens, shall be 1.0 lb. or 450 g.</w:t>
      </w:r>
    </w:p>
    <w:p w:rsidR="00000000" w:rsidRDefault="008F04FB">
      <w:pPr>
        <w:pStyle w:val="BodyText2"/>
        <w:numPr>
          <w:ilvl w:val="1"/>
          <w:numId w:val="9"/>
        </w:numPr>
        <w:tabs>
          <w:tab w:val="clear" w:pos="576"/>
        </w:tabs>
        <w:spacing w:after="120"/>
      </w:pPr>
      <w:r>
        <w:t>The dome shall conform to these internationally recognized compliance standards:</w:t>
      </w:r>
    </w:p>
    <w:p w:rsidR="00000000" w:rsidRDefault="008F04FB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FCC</w:t>
      </w:r>
    </w:p>
    <w:p w:rsidR="00000000" w:rsidRDefault="008F04FB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>
        <w:t>CE</w:t>
      </w:r>
    </w:p>
    <w:p w:rsidR="00000000" w:rsidRDefault="008F04FB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p w:rsidR="00000000" w:rsidRDefault="008F04FB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tbl>
      <w:tblPr>
        <w:tblW w:w="0" w:type="auto"/>
        <w:tblInd w:w="468" w:type="dxa"/>
        <w:tblLook w:val="0000"/>
      </w:tblPr>
      <w:tblGrid>
        <w:gridCol w:w="1146"/>
        <w:gridCol w:w="503"/>
        <w:gridCol w:w="2513"/>
        <w:gridCol w:w="2689"/>
        <w:gridCol w:w="254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115" w:type="dxa"/>
          </w:tcPr>
          <w:p w:rsidR="00000000" w:rsidRDefault="008609C0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1500" cy="615950"/>
                  <wp:effectExtent l="19050" t="0" r="0" b="0"/>
                  <wp:docPr id="3" name="Picture 3" descr="ge_monogram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_monogram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</w:tcPr>
          <w:p w:rsidR="00000000" w:rsidRDefault="008F04FB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60"/>
              <w:rPr>
                <w:rFonts w:ascii="GE Inspira" w:hAnsi="GE Inspira"/>
                <w:sz w:val="14"/>
              </w:rPr>
            </w:pPr>
          </w:p>
        </w:tc>
        <w:tc>
          <w:tcPr>
            <w:tcW w:w="2520" w:type="dxa"/>
          </w:tcPr>
          <w:p w:rsidR="00000000" w:rsidRDefault="008F04FB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Americas</w:t>
            </w:r>
            <w:r>
              <w:rPr>
                <w:rFonts w:ascii="GE Inspira" w:hAnsi="GE Inspira"/>
                <w:sz w:val="14"/>
              </w:rPr>
              <w:br/>
              <w:t>tel  503-885-5700</w:t>
            </w:r>
            <w:r>
              <w:rPr>
                <w:rFonts w:ascii="GE Inspira" w:hAnsi="GE Inspira"/>
                <w:sz w:val="14"/>
              </w:rPr>
              <w:br/>
              <w:t xml:space="preserve">       888-GE-SECURITY (437-3287)</w:t>
            </w:r>
            <w:r>
              <w:rPr>
                <w:rFonts w:ascii="GE Inspira" w:hAnsi="GE Inspira"/>
                <w:sz w:val="14"/>
              </w:rPr>
              <w:br/>
            </w:r>
            <w:hyperlink r:id="rId12" w:history="1">
              <w:r>
                <w:rPr>
                  <w:rStyle w:val="Hyperlink"/>
                  <w:rFonts w:ascii="GE Inspira" w:hAnsi="GE Inspira"/>
                  <w:sz w:val="14"/>
                </w:rPr>
                <w:t>info@gesecurity.com</w:t>
              </w:r>
            </w:hyperlink>
            <w:r>
              <w:rPr>
                <w:rFonts w:ascii="GE Inspira" w:hAnsi="GE Inspira"/>
                <w:sz w:val="14"/>
              </w:rPr>
              <w:br/>
            </w:r>
            <w:r>
              <w:rPr>
                <w:rFonts w:ascii="GE Inspira" w:hAnsi="GE Inspira"/>
                <w:sz w:val="14"/>
              </w:rPr>
              <w:t>www.gesecurity.com</w:t>
            </w:r>
          </w:p>
        </w:tc>
        <w:tc>
          <w:tcPr>
            <w:tcW w:w="2700" w:type="dxa"/>
          </w:tcPr>
          <w:p w:rsidR="00000000" w:rsidRDefault="008F04FB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Asia</w:t>
            </w:r>
            <w:r>
              <w:rPr>
                <w:rFonts w:ascii="GE Inspira" w:hAnsi="GE Inspira"/>
                <w:sz w:val="14"/>
              </w:rPr>
              <w:br/>
              <w:t>tel 852-2907-8108</w:t>
            </w:r>
            <w:r>
              <w:rPr>
                <w:rFonts w:ascii="GE Inspira" w:hAnsi="GE Inspira"/>
                <w:sz w:val="14"/>
              </w:rPr>
              <w:br/>
              <w:t>fax 852-2142-5063</w:t>
            </w:r>
          </w:p>
          <w:p w:rsidR="00000000" w:rsidRDefault="008F04FB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Australia</w:t>
            </w:r>
            <w:r>
              <w:rPr>
                <w:rFonts w:ascii="GE Inspira" w:hAnsi="GE Inspira"/>
                <w:sz w:val="14"/>
              </w:rPr>
              <w:br/>
              <w:t>tel 61-3-9259-4700</w:t>
            </w:r>
            <w:r>
              <w:rPr>
                <w:rFonts w:ascii="GE Inspira" w:hAnsi="GE Inspira"/>
                <w:sz w:val="14"/>
              </w:rPr>
              <w:br/>
              <w:t>fax 61-3-9259-4799</w:t>
            </w:r>
          </w:p>
        </w:tc>
        <w:tc>
          <w:tcPr>
            <w:tcW w:w="2556" w:type="dxa"/>
          </w:tcPr>
          <w:p w:rsidR="00000000" w:rsidRDefault="008F04FB">
            <w:pPr>
              <w:pStyle w:val="BodyText2"/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Europe</w:t>
            </w:r>
            <w:r>
              <w:rPr>
                <w:rFonts w:ascii="GE Inspira" w:hAnsi="GE Inspira"/>
                <w:sz w:val="14"/>
              </w:rPr>
              <w:br/>
              <w:t>tel 32-2-725-11-20</w:t>
            </w:r>
            <w:r>
              <w:rPr>
                <w:rFonts w:ascii="GE Inspira" w:hAnsi="GE Inspira"/>
                <w:sz w:val="14"/>
              </w:rPr>
              <w:br/>
              <w:t>fax 32-2-721-86-13</w:t>
            </w:r>
          </w:p>
          <w:p w:rsidR="00000000" w:rsidRDefault="008F04FB">
            <w:pPr>
              <w:pStyle w:val="BodyText2"/>
              <w:spacing w:after="60"/>
            </w:pPr>
            <w:r>
              <w:rPr>
                <w:rFonts w:ascii="GE Inspira" w:hAnsi="GE Inspira"/>
                <w:sz w:val="14"/>
              </w:rPr>
              <w:t>Latin America</w:t>
            </w:r>
            <w:r>
              <w:rPr>
                <w:rFonts w:ascii="GE Inspira" w:hAnsi="GE Inspira"/>
                <w:sz w:val="14"/>
              </w:rPr>
              <w:br/>
              <w:t>tel 305-593-4301</w:t>
            </w:r>
            <w:r>
              <w:rPr>
                <w:rFonts w:ascii="GE Inspira" w:hAnsi="GE Inspira"/>
                <w:sz w:val="14"/>
              </w:rPr>
              <w:br/>
              <w:t>fax 305-267-4300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96" w:type="dxa"/>
            <w:gridSpan w:val="5"/>
          </w:tcPr>
          <w:p w:rsidR="00000000" w:rsidRDefault="008F04FB">
            <w:pPr>
              <w:pStyle w:val="BodyText2"/>
              <w:tabs>
                <w:tab w:val="clear" w:pos="576"/>
                <w:tab w:val="clear" w:pos="1008"/>
                <w:tab w:val="clear" w:pos="1440"/>
              </w:tabs>
              <w:spacing w:after="60"/>
              <w:rPr>
                <w:rFonts w:ascii="GE Inspira" w:hAnsi="GE Inspira"/>
                <w:sz w:val="14"/>
              </w:rPr>
            </w:pPr>
            <w:r>
              <w:rPr>
                <w:rFonts w:ascii="GE Inspira" w:hAnsi="GE Inspira"/>
                <w:sz w:val="14"/>
              </w:rPr>
              <w:t>© 2007 GE Security. As a company of innovation, GE Sec</w:t>
            </w:r>
            <w:r>
              <w:rPr>
                <w:rFonts w:ascii="GE Inspira" w:hAnsi="GE Inspira"/>
                <w:sz w:val="14"/>
              </w:rPr>
              <w:t xml:space="preserve">urity reserves the right to change product information without notice. For the latest product specifications, visit GE Security online at www.GESecurity.com or contact your GE Security sales representative.  </w:t>
            </w:r>
          </w:p>
        </w:tc>
      </w:tr>
    </w:tbl>
    <w:p w:rsidR="008F04FB" w:rsidRDefault="008F04FB">
      <w:pPr>
        <w:pStyle w:val="BodyText2"/>
        <w:tabs>
          <w:tab w:val="clear" w:pos="576"/>
          <w:tab w:val="clear" w:pos="1008"/>
          <w:tab w:val="clear" w:pos="1440"/>
        </w:tabs>
        <w:spacing w:after="120"/>
      </w:pPr>
    </w:p>
    <w:sectPr w:rsidR="008F04FB">
      <w:headerReference w:type="default" r:id="rId13"/>
      <w:footerReference w:type="default" r:id="rId14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4FB" w:rsidRDefault="008F04FB">
      <w:r>
        <w:separator/>
      </w:r>
    </w:p>
  </w:endnote>
  <w:endnote w:type="continuationSeparator" w:id="0">
    <w:p w:rsidR="008F04FB" w:rsidRDefault="008F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Inspira">
    <w:altName w:val="Nyal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04FB"/>
  <w:tbl>
    <w:tblPr>
      <w:tblW w:w="0" w:type="auto"/>
      <w:tblInd w:w="108" w:type="dxa"/>
      <w:tblLook w:val="0000"/>
    </w:tblPr>
    <w:tblGrid>
      <w:gridCol w:w="3600"/>
      <w:gridCol w:w="2868"/>
      <w:gridCol w:w="3288"/>
    </w:tblGrid>
    <w:tr w:rsidR="00000000">
      <w:tblPrEx>
        <w:tblCellMar>
          <w:top w:w="0" w:type="dxa"/>
          <w:bottom w:w="0" w:type="dxa"/>
        </w:tblCellMar>
      </w:tblPrEx>
      <w:tc>
        <w:tcPr>
          <w:tcW w:w="3600" w:type="dxa"/>
        </w:tcPr>
        <w:p w:rsidR="00000000" w:rsidRDefault="008F04FB">
          <w:pPr>
            <w:pStyle w:val="Footer"/>
            <w:rPr>
              <w:sz w:val="18"/>
            </w:rPr>
          </w:pPr>
          <w:r>
            <w:rPr>
              <w:sz w:val="18"/>
            </w:rPr>
            <w:t>GEC-MP2 Megapixel Camera / January 20</w:t>
          </w:r>
          <w:r>
            <w:rPr>
              <w:sz w:val="18"/>
            </w:rPr>
            <w:t>07</w:t>
          </w:r>
        </w:p>
      </w:tc>
      <w:tc>
        <w:tcPr>
          <w:tcW w:w="2868" w:type="dxa"/>
        </w:tcPr>
        <w:p w:rsidR="00000000" w:rsidRDefault="008F04FB">
          <w:pPr>
            <w:pStyle w:val="Footer"/>
            <w:jc w:val="center"/>
          </w:pPr>
          <w:r>
            <w:rPr>
              <w:rStyle w:val="PageNumber"/>
              <w:sz w:val="18"/>
            </w:rPr>
            <w:fldChar w:fldCharType="begin"/>
          </w:r>
          <w:r>
            <w:rPr>
              <w:rStyle w:val="PageNumber"/>
              <w:sz w:val="18"/>
            </w:rPr>
            <w:instrText xml:space="preserve"> PAGE </w:instrText>
          </w:r>
          <w:r>
            <w:rPr>
              <w:rStyle w:val="PageNumber"/>
              <w:sz w:val="18"/>
            </w:rPr>
            <w:fldChar w:fldCharType="separate"/>
          </w:r>
          <w:r w:rsidR="008609C0">
            <w:rPr>
              <w:rStyle w:val="PageNumber"/>
              <w:noProof/>
              <w:sz w:val="18"/>
            </w:rPr>
            <w:t>1</w:t>
          </w:r>
          <w:r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000000" w:rsidRDefault="008F04FB">
          <w:pPr>
            <w:pStyle w:val="Footer"/>
            <w:jc w:val="right"/>
          </w:pPr>
        </w:p>
      </w:tc>
    </w:tr>
  </w:tbl>
  <w:p w:rsidR="00000000" w:rsidRDefault="008F04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4FB" w:rsidRDefault="008F04FB">
      <w:r>
        <w:separator/>
      </w:r>
    </w:p>
  </w:footnote>
  <w:footnote w:type="continuationSeparator" w:id="0">
    <w:p w:rsidR="008F04FB" w:rsidRDefault="008F0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4917"/>
      <w:gridCol w:w="4917"/>
    </w:tblGrid>
    <w:tr w:rsidR="00000000">
      <w:tblPrEx>
        <w:tblCellMar>
          <w:top w:w="0" w:type="dxa"/>
          <w:bottom w:w="0" w:type="dxa"/>
        </w:tblCellMar>
      </w:tblPrEx>
      <w:trPr>
        <w:trHeight w:val="915"/>
      </w:trPr>
      <w:tc>
        <w:tcPr>
          <w:tcW w:w="4917" w:type="dxa"/>
        </w:tcPr>
        <w:p w:rsidR="00000000" w:rsidRDefault="008609C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889000" cy="508000"/>
                <wp:effectExtent l="19050" t="0" r="6350" b="0"/>
                <wp:docPr id="1" name="Picture 1" descr=":ge_security_heade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:ge_security_header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7" w:type="dxa"/>
        </w:tcPr>
        <w:p w:rsidR="00000000" w:rsidRDefault="008609C0">
          <w:pPr>
            <w:pStyle w:val="Header"/>
            <w:jc w:val="right"/>
            <w:rPr>
              <w:rFonts w:ascii="GE Inspira" w:hAnsi="GE Inspira"/>
              <w:b/>
              <w:sz w:val="32"/>
            </w:rPr>
          </w:pPr>
          <w:r>
            <w:rPr>
              <w:rFonts w:ascii="GE Inspira" w:hAnsi="GE Inspira"/>
              <w:b/>
              <w:noProof/>
              <w:sz w:val="32"/>
            </w:rPr>
            <w:drawing>
              <wp:inline distT="0" distB="0" distL="0" distR="0">
                <wp:extent cx="1587500" cy="234950"/>
                <wp:effectExtent l="19050" t="0" r="0" b="0"/>
                <wp:docPr id="2" name="Picture 2" descr=":spec_header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pec_header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8F04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57C446A4"/>
    <w:multiLevelType w:val="multilevel"/>
    <w:tmpl w:val="0F50D17A"/>
    <w:lvl w:ilvl="0">
      <w:start w:val="2"/>
      <w:numFmt w:val="decimal"/>
      <w:pStyle w:val="Heading1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1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2">
    <w:nsid w:val="7B9B4AE2"/>
    <w:multiLevelType w:val="singleLevel"/>
    <w:tmpl w:val="5E7659D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576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9C0"/>
    <w:rsid w:val="008609C0"/>
    <w:rsid w:val="008F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/>
    </w:pPr>
    <w:rPr>
      <w:sz w:val="20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</w:style>
  <w:style w:type="paragraph" w:customStyle="1" w:styleId="NormalBodyText">
    <w:name w:val="Normal Body Text"/>
    <w:basedOn w:val="Normal"/>
    <w:pPr>
      <w:keepLines/>
      <w:spacing w:after="120"/>
      <w:ind w:left="288"/>
    </w:pPr>
    <w:rPr>
      <w:rFonts w:ascii="Arial" w:hAnsi="Arial"/>
      <w:sz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esecuri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wnload Asset" ma:contentTypeID="0x0101004F26C7F709DF1943853683220AEFDF050063501A8DEBADBD43989F5682D0C82F19" ma:contentTypeVersion="1" ma:contentTypeDescription="" ma:contentTypeScope="" ma:versionID="feabaa9b819c184402a2463aed42cf64">
  <xsd:schema xmlns:xsd="http://www.w3.org/2001/XMLSchema" xmlns:xs="http://www.w3.org/2001/XMLSchema" xmlns:p="http://schemas.microsoft.com/office/2006/metadata/properties" xmlns:ns3="dbd212b2-299c-41cb-a2da-5b6b13aae944" xmlns:ns4="56d80b42-2495-476a-a6d0-d30557447e8e" targetNamespace="http://schemas.microsoft.com/office/2006/metadata/properties" ma:root="true" ma:fieldsID="39d5858301269f27bbd8f6e5714ea7d2" ns3:_="" ns4:_="">
    <xsd:import namespace="dbd212b2-299c-41cb-a2da-5b6b13aae944"/>
    <xsd:import namespace="56d80b42-2495-476a-a6d0-d30557447e8e"/>
    <xsd:element name="properties">
      <xsd:complexType>
        <xsd:sequence>
          <xsd:element name="documentManagement">
            <xsd:complexType>
              <xsd:all>
                <xsd:element ref="ns3:Download_x0020_Category" minOccurs="0"/>
                <xsd:element ref="ns3:Download_x0020_Type" minOccurs="0"/>
                <xsd:element ref="ns4:Download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212b2-299c-41cb-a2da-5b6b13aae944" elementFormDefault="qualified">
    <xsd:import namespace="http://schemas.microsoft.com/office/2006/documentManagement/types"/>
    <xsd:import namespace="http://schemas.microsoft.com/office/infopath/2007/PartnerControls"/>
    <xsd:element name="Download_x0020_Category" ma:index="8" nillable="true" ma:displayName="Download Category" ma:list="{D23F5126-F93F-4989-BCEF-786F0BE2824A}" ma:internalName="Download_x0020_Category" ma:showField="Download_x0020_Category" ma:web="{7940ef12-8a8f-47b1-af37-78c4b642418c}">
      <xsd:simpleType>
        <xsd:restriction base="dms:Lookup"/>
      </xsd:simpleType>
    </xsd:element>
    <xsd:element name="Download_x0020_Type" ma:index="9" nillable="true" ma:displayName="Download Type" ma:list="{093BD355-E089-4BC7-83EF-CD75AA71B834}" ma:internalName="Download_x0020_Type" ma:showField="Download_x0020_Type" ma:web="{7940ef12-8a8f-47b1-af37-78c4b642418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80b42-2495-476a-a6d0-d30557447e8e" elementFormDefault="qualified">
    <xsd:import namespace="http://schemas.microsoft.com/office/2006/documentManagement/types"/>
    <xsd:import namespace="http://schemas.microsoft.com/office/infopath/2007/PartnerControls"/>
    <xsd:element name="Download_x0020_Description" ma:index="10" nillable="true" ma:displayName="Download Description" ma:internalName="Download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wnload_x0020_Category xmlns="dbd212b2-299c-41cb-a2da-5b6b13aae944">1</Download_x0020_Category>
    <Download_x0020_Description xmlns="56d80b42-2495-476a-a6d0-d30557447e8e">2-Megapixel Cameras A&amp;E Specification</Download_x0020_Description>
    <Download_x0020_Type xmlns="dbd212b2-299c-41cb-a2da-5b6b13aae944">1</Download_x0020_Type>
  </documentManagement>
</p:properties>
</file>

<file path=customXml/itemProps1.xml><?xml version="1.0" encoding="utf-8"?>
<ds:datastoreItem xmlns:ds="http://schemas.openxmlformats.org/officeDocument/2006/customXml" ds:itemID="{1BD2371A-4F1D-442E-AFC4-4FE0802B36F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2BC4CA5-359B-4A90-86FB-A68B4EC57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212b2-299c-41cb-a2da-5b6b13aae944"/>
    <ds:schemaRef ds:uri="56d80b42-2495-476a-a6d0-d30557447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752AC-8F26-46A9-B0AA-D8F858046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A5F04-E80D-4949-8E3C-7EC8A68D73A2}">
  <ds:schemaRefs>
    <ds:schemaRef ds:uri="http://schemas.microsoft.com/office/2006/metadata/properties"/>
    <ds:schemaRef ds:uri="dbd212b2-299c-41cb-a2da-5b6b13aae944"/>
    <ds:schemaRef ds:uri="56d80b42-2495-476a-a6d0-d30557447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3532</CharactersWithSpaces>
  <SharedDoc>false</SharedDoc>
  <HLinks>
    <vt:vector size="24" baseType="variant">
      <vt:variant>
        <vt:i4>8060998</vt:i4>
      </vt:variant>
      <vt:variant>
        <vt:i4>0</vt:i4>
      </vt:variant>
      <vt:variant>
        <vt:i4>0</vt:i4>
      </vt:variant>
      <vt:variant>
        <vt:i4>5</vt:i4>
      </vt:variant>
      <vt:variant>
        <vt:lpwstr>mailto:info@gesecurity.com</vt:lpwstr>
      </vt:variant>
      <vt:variant>
        <vt:lpwstr/>
      </vt:variant>
      <vt:variant>
        <vt:i4>5177392</vt:i4>
      </vt:variant>
      <vt:variant>
        <vt:i4>4480</vt:i4>
      </vt:variant>
      <vt:variant>
        <vt:i4>1027</vt:i4>
      </vt:variant>
      <vt:variant>
        <vt:i4>1</vt:i4>
      </vt:variant>
      <vt:variant>
        <vt:lpwstr>ge_monogram_black</vt:lpwstr>
      </vt:variant>
      <vt:variant>
        <vt:lpwstr/>
      </vt:variant>
      <vt:variant>
        <vt:i4>7798803</vt:i4>
      </vt:variant>
      <vt:variant>
        <vt:i4>5075</vt:i4>
      </vt:variant>
      <vt:variant>
        <vt:i4>1025</vt:i4>
      </vt:variant>
      <vt:variant>
        <vt:i4>65537</vt:i4>
      </vt:variant>
      <vt:variant>
        <vt:lpwstr>http://utcfssecurityproducts.cma-stage.sharepoint.fs.utc.comge_security_header.tif</vt:lpwstr>
      </vt:variant>
      <vt:variant>
        <vt:lpwstr/>
      </vt:variant>
      <vt:variant>
        <vt:i4>131112</vt:i4>
      </vt:variant>
      <vt:variant>
        <vt:i4>5077</vt:i4>
      </vt:variant>
      <vt:variant>
        <vt:i4>1026</vt:i4>
      </vt:variant>
      <vt:variant>
        <vt:i4>65537</vt:i4>
      </vt:variant>
      <vt:variant>
        <vt:lpwstr>http://utcfssecurityproducts.cma-stage.sharepoint.fs.utc.comspec_header.tif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creator>GE IndSys</dc:creator>
  <cp:lastModifiedBy>Lorena Cora</cp:lastModifiedBy>
  <cp:revision>2</cp:revision>
  <cp:lastPrinted>2007-01-12T15:50:00Z</cp:lastPrinted>
  <dcterms:created xsi:type="dcterms:W3CDTF">2012-06-26T15:43:00Z</dcterms:created>
  <dcterms:modified xsi:type="dcterms:W3CDTF">2012-06-26T15:43:00Z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0x0101004F26C7F709DF1943853683220AEFDF050063501A8DEBADBD43989F5682D0C82F19</vt:lpwstr>
  </property>
  <property fmtid="{D5CDD505-2E9C-101B-9397-08002B2CF9AE}" pid="3" name="Is Secure">
    <vt:lpwstr>0</vt:lpwstr>
  </property>
</Properties>
</file>